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pStyle w:val="1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Подписан закон, регулирующий вопросы перевода земель и земельных участков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сельхозназначения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другие категории земель</w:t>
      </w:r>
      <w:r>
        <w:rPr>
          <w:rFonts w:ascii="Times New Roman" w:hAnsi="Times New Roman"/>
          <w:b/>
          <w:color w:val="000000"/>
          <w:sz w:val="28"/>
        </w:rPr>
        <w:br/>
        <w:t> (</w:t>
      </w:r>
      <w:proofErr w:type="spellStart"/>
      <w:r>
        <w:rPr>
          <w:rFonts w:ascii="Times New Roman" w:hAnsi="Times New Roman"/>
          <w:b/>
          <w:color w:val="000000"/>
          <w:sz w:val="28"/>
        </w:rPr>
        <w:t>Узловская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межрайонная прокуратура)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Президент России подписал Федеральный закон «О внесении изменений в отдельные законодательные акты Российской Федерации».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принят Государственной Думой 25 марта 2025 года и одобрен Советом Федерации 27 марта 2025 года.</w:t>
      </w:r>
      <w:r>
        <w:rPr>
          <w:rFonts w:ascii="Times New Roman" w:hAnsi="Times New Roman"/>
          <w:sz w:val="28"/>
        </w:rPr>
        <w:br/>
        <w:t>Федеральным законом регулируются вопросы, касающиеся оснований и порядка перевода земель и земельных участков сельскохозяйственного назначения в другие категории земель.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Предусматривается сокращение перечня оснований перевода земель сельскохозяйственных угодий или земельных участков в составе таких земель из земель сельскохозяйственного назначения в другую категорию.</w:t>
      </w:r>
      <w:r>
        <w:rPr>
          <w:rFonts w:ascii="Times New Roman" w:hAnsi="Times New Roman"/>
          <w:sz w:val="28"/>
        </w:rPr>
        <w:br/>
        <w:t>Федеральным законом устанавливаются запреты и ограничения на перевод указанных земель и земельных участков в другие категории земель.</w:t>
      </w:r>
      <w:r>
        <w:rPr>
          <w:rFonts w:ascii="Times New Roman" w:hAnsi="Times New Roman"/>
          <w:sz w:val="28"/>
        </w:rPr>
        <w:br/>
        <w:t>Например, запрещается перевод земель сельскохозяйственных угодий или земельных участков в составе таких земель из земель сельскохозяйственного назначения в другую категорию в целях добычи общераспространённых полезных ископаемых.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Устанавливается новый порядок перевода земель и земельных участков сельскохозяйственного назначения в другие категории земель.</w:t>
      </w:r>
      <w:r>
        <w:rPr>
          <w:rFonts w:ascii="Times New Roman" w:hAnsi="Times New Roman"/>
          <w:sz w:val="28"/>
        </w:rPr>
        <w:br/>
        <w:t>В частности, согласно Федеральному закону акт о переводе земель или земельных участков сельскохозяйственного назначения в другие категории – земель, за исключением земель, находящихся в федеральной собственности, принимается исполнительным органом субъекта Российской Федерации в соответствии с законом субъекта Российской Федерации, предусматривающим перевод земель сельскохозяйственного назначения или земельных участков в составе таких земель из одной категории в другую.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регулируются вопросы установления и изменения границ сельскохозяйственных угодий в составе земель сельскохозяйственного назначения, согласования проекта схем территориального планирования в части, касающейся соответствия данного проекта целям развития сельского хозяйства, и иные вопросы, направленные на сохранение сельскохозяйственных угодий и иных земель сельскохозяйственного назначения.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Федеральный закон устраняет терминологические и иные неточности в правовом регулировании отношений в области использования и охраны земель сельскохозяйственного назначения.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Помощнк</w:t>
      </w:r>
      <w:proofErr w:type="spellEnd"/>
      <w:r>
        <w:rPr>
          <w:rFonts w:ascii="Times New Roman" w:hAnsi="Times New Roman"/>
          <w:sz w:val="28"/>
        </w:rPr>
        <w:t xml:space="preserve">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     М.А. Гагин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0E16BB"/>
    <w:rsid w:val="00180CCE"/>
    <w:rsid w:val="00247542"/>
    <w:rsid w:val="002662C3"/>
    <w:rsid w:val="0030089C"/>
    <w:rsid w:val="003132D3"/>
    <w:rsid w:val="00433C64"/>
    <w:rsid w:val="00623036"/>
    <w:rsid w:val="008172F6"/>
    <w:rsid w:val="00865AFD"/>
    <w:rsid w:val="00950182"/>
    <w:rsid w:val="00962BCA"/>
    <w:rsid w:val="009E56BA"/>
    <w:rsid w:val="00A23AF8"/>
    <w:rsid w:val="00BA582A"/>
    <w:rsid w:val="00C66DF5"/>
    <w:rsid w:val="00DC5876"/>
    <w:rsid w:val="00E044C8"/>
    <w:rsid w:val="00E1297D"/>
    <w:rsid w:val="00ED79F2"/>
    <w:rsid w:val="00EE38E7"/>
    <w:rsid w:val="00F07F15"/>
    <w:rsid w:val="00F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Столбовская</dc:creator>
  <cp:lastModifiedBy>Ирина А. Столбовская</cp:lastModifiedBy>
  <cp:revision>4</cp:revision>
  <dcterms:created xsi:type="dcterms:W3CDTF">2025-06-02T11:53:00Z</dcterms:created>
  <dcterms:modified xsi:type="dcterms:W3CDTF">2025-06-02T11:53:00Z</dcterms:modified>
</cp:coreProperties>
</file>