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color w:val="000000"/>
          <w:sz w:val="28"/>
        </w:rPr>
        <w:t>О порядке начисления пени за просрочку оплаты услуг ЖКХ</w:t>
      </w:r>
    </w:p>
    <w:p w:rsidR="00F07F15" w:rsidRDefault="00962BCA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порядок начисления пени и штрафов распространяется на случаи: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Вышеуказанное 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C0EFA"/>
    <w:rsid w:val="000E16BB"/>
    <w:rsid w:val="002B6798"/>
    <w:rsid w:val="00623036"/>
    <w:rsid w:val="00962BCA"/>
    <w:rsid w:val="00A23AF8"/>
    <w:rsid w:val="00BA582A"/>
    <w:rsid w:val="00C66DF5"/>
    <w:rsid w:val="00DC5876"/>
    <w:rsid w:val="00ED79F2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2025-06-02T11:48:00Z</dcterms:created>
  <dcterms:modified xsi:type="dcterms:W3CDTF">2025-06-02T11:48:00Z</dcterms:modified>
</cp:coreProperties>
</file>