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9" w:rsidRPr="00557FD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Уведомление</w:t>
      </w:r>
    </w:p>
    <w:p w:rsidR="00F05DD9" w:rsidRPr="00557FD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о проведении публичных консультаций</w:t>
      </w:r>
    </w:p>
    <w:p w:rsidR="00F05DD9" w:rsidRPr="00557FD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в рамках процедуры оценки регулирующего воздействия</w:t>
      </w:r>
    </w:p>
    <w:p w:rsidR="00F05DD9" w:rsidRPr="00557FD8" w:rsidRDefault="00F05DD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1E3E4F" w:rsidRPr="00557FD8" w:rsidRDefault="00F05DD9" w:rsidP="001E3E4F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557FD8">
        <w:rPr>
          <w:rFonts w:ascii="PT Astra Serif" w:hAnsi="PT Astra Serif" w:cs="Arial"/>
          <w:bCs/>
          <w:sz w:val="24"/>
          <w:szCs w:val="24"/>
          <w:u w:val="single"/>
        </w:rPr>
        <w:t>проекта</w:t>
      </w:r>
      <w:r w:rsidR="00873D0E" w:rsidRPr="00557FD8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 </w:t>
      </w:r>
      <w:r w:rsidR="00873D0E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постановления администрации муниципального образования </w:t>
      </w:r>
      <w:proofErr w:type="spellStart"/>
      <w:r w:rsidR="00873D0E" w:rsidRPr="00557FD8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="00873D0E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 </w:t>
      </w:r>
      <w:proofErr w:type="gramStart"/>
      <w:r w:rsidR="00873D0E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район </w:t>
      </w:r>
      <w:r w:rsidR="00557FD8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 «</w:t>
      </w:r>
      <w:proofErr w:type="gramEnd"/>
      <w:r w:rsidR="00557FD8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7FD8" w:rsidRPr="00557FD8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="00557FD8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 район от 17 марта 2023 года №385 </w:t>
      </w:r>
      <w:r w:rsidR="001E3E4F"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«Об утверждении Административного регламента </w:t>
      </w:r>
    </w:p>
    <w:p w:rsidR="001E3E4F" w:rsidRPr="00557FD8" w:rsidRDefault="001E3E4F" w:rsidP="001E3E4F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557FD8">
        <w:rPr>
          <w:rFonts w:ascii="PT Astra Serif" w:hAnsi="PT Astra Serif" w:cs="Arial"/>
          <w:bCs/>
          <w:sz w:val="24"/>
          <w:szCs w:val="24"/>
          <w:u w:val="single"/>
        </w:rPr>
        <w:t xml:space="preserve">предоставления муниципальной услуги «Предоставление права </w:t>
      </w:r>
    </w:p>
    <w:p w:rsidR="00117CCF" w:rsidRPr="00557FD8" w:rsidRDefault="001E3E4F" w:rsidP="001E3E4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557FD8">
        <w:rPr>
          <w:rFonts w:ascii="PT Astra Serif" w:hAnsi="PT Astra Serif" w:cs="Arial"/>
          <w:bCs/>
          <w:sz w:val="24"/>
          <w:szCs w:val="24"/>
          <w:u w:val="single"/>
        </w:rPr>
        <w:t>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F05DD9" w:rsidRPr="00557FD8" w:rsidRDefault="00F05DD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F05DD9" w:rsidRPr="00557FD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Настоящим</w:t>
      </w:r>
      <w:r w:rsidRPr="00557FD8">
        <w:rPr>
          <w:rFonts w:ascii="PT Astra Serif" w:hAnsi="PT Astra Serif" w:cs="Arial"/>
          <w:sz w:val="24"/>
          <w:szCs w:val="24"/>
        </w:rPr>
        <w:t xml:space="preserve"> </w:t>
      </w:r>
      <w:r w:rsidR="00117CCF" w:rsidRPr="00557FD8">
        <w:rPr>
          <w:rFonts w:ascii="PT Astra Serif" w:hAnsi="PT Astra Serif" w:cs="Arial"/>
          <w:sz w:val="24"/>
          <w:szCs w:val="24"/>
          <w:u w:val="single"/>
        </w:rPr>
        <w:t xml:space="preserve">Комитет </w:t>
      </w:r>
      <w:r w:rsidR="00CB3FF4" w:rsidRPr="00557FD8">
        <w:rPr>
          <w:rFonts w:ascii="PT Astra Serif" w:hAnsi="PT Astra Serif" w:cs="Arial"/>
          <w:sz w:val="24"/>
          <w:szCs w:val="24"/>
          <w:u w:val="single"/>
        </w:rPr>
        <w:t>экономического развития и предпринимательства</w:t>
      </w:r>
      <w:r w:rsidR="00873D0E" w:rsidRPr="00557FD8">
        <w:rPr>
          <w:rFonts w:ascii="PT Astra Serif" w:hAnsi="PT Astra Serif" w:cs="Arial"/>
          <w:sz w:val="24"/>
          <w:szCs w:val="24"/>
          <w:u w:val="single"/>
        </w:rPr>
        <w:t xml:space="preserve"> </w:t>
      </w:r>
      <w:r w:rsidRPr="00557FD8">
        <w:rPr>
          <w:rFonts w:ascii="PT Astra Serif" w:hAnsi="PT Astra Serif" w:cs="Arial"/>
          <w:sz w:val="24"/>
          <w:szCs w:val="24"/>
          <w:u w:val="single"/>
        </w:rPr>
        <w:t>администрации муниципального образования Узловский район</w:t>
      </w:r>
    </w:p>
    <w:p w:rsidR="00F05DD9" w:rsidRPr="00557FD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sz w:val="24"/>
          <w:szCs w:val="24"/>
        </w:rPr>
        <w:t>(наименование органа-разработчика)</w:t>
      </w:r>
    </w:p>
    <w:p w:rsidR="00F05DD9" w:rsidRPr="00557FD8" w:rsidRDefault="001D6CBE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sz w:val="24"/>
          <w:szCs w:val="24"/>
        </w:rPr>
        <w:t>извещает о начале обсуждения идеи (концепции)</w:t>
      </w:r>
      <w:r w:rsidR="00F05DD9" w:rsidRPr="00557FD8">
        <w:rPr>
          <w:rFonts w:ascii="PT Astra Serif" w:hAnsi="PT Astra Serif" w:cs="Arial"/>
          <w:sz w:val="24"/>
          <w:szCs w:val="24"/>
        </w:rPr>
        <w:t xml:space="preserve"> предлагаемого правового регулирования и сборе предложений заинтересованных лиц.</w:t>
      </w:r>
    </w:p>
    <w:p w:rsidR="00F05DD9" w:rsidRPr="00557FD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Pr="00557FD8">
        <w:rPr>
          <w:rFonts w:ascii="PT Astra Serif" w:hAnsi="PT Astra Serif" w:cs="Arial"/>
          <w:sz w:val="24"/>
          <w:szCs w:val="24"/>
        </w:rPr>
        <w:t xml:space="preserve"> </w:t>
      </w:r>
      <w:r w:rsidRPr="00557FD8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557FD8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  <w:bookmarkStart w:id="0" w:name="_GoBack"/>
      <w:bookmarkEnd w:id="0"/>
    </w:p>
    <w:p w:rsidR="00F05DD9" w:rsidRPr="00557FD8" w:rsidRDefault="00F05DD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4"/>
          <w:szCs w:val="24"/>
        </w:rPr>
      </w:pPr>
      <w:r w:rsidRPr="00557FD8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557FD8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F05DD9" w:rsidRPr="00557FD8" w:rsidRDefault="00F05DD9">
      <w:pPr>
        <w:pStyle w:val="ConsPlusNonformat"/>
        <w:spacing w:after="240"/>
        <w:ind w:firstLine="284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Pr="00557FD8">
        <w:rPr>
          <w:rFonts w:ascii="PT Astra Serif" w:hAnsi="PT Astra Serif" w:cs="Arial"/>
          <w:sz w:val="24"/>
          <w:szCs w:val="24"/>
        </w:rPr>
        <w:t xml:space="preserve"> </w:t>
      </w:r>
      <w:r w:rsidR="00557FD8" w:rsidRPr="00557FD8">
        <w:rPr>
          <w:rFonts w:ascii="PT Astra Serif" w:hAnsi="PT Astra Serif" w:cs="Arial"/>
          <w:sz w:val="24"/>
          <w:szCs w:val="24"/>
        </w:rPr>
        <w:t>29.10.2024 – 11.11.2024</w:t>
      </w:r>
    </w:p>
    <w:p w:rsidR="00F05DD9" w:rsidRPr="00557FD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>Место размещения   уведомления</w:t>
      </w:r>
      <w:r w:rsidR="001D6CBE" w:rsidRPr="00557FD8">
        <w:rPr>
          <w:rFonts w:ascii="PT Astra Serif" w:hAnsi="PT Astra Serif" w:cs="Arial"/>
          <w:b/>
          <w:sz w:val="24"/>
          <w:szCs w:val="24"/>
        </w:rPr>
        <w:t xml:space="preserve"> о</w:t>
      </w:r>
      <w:r w:rsidRPr="00557FD8">
        <w:rPr>
          <w:rFonts w:ascii="PT Astra Serif" w:hAnsi="PT Astra Serif" w:cs="Arial"/>
          <w:b/>
          <w:sz w:val="24"/>
          <w:szCs w:val="24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F05DD9" w:rsidRPr="00557FD8" w:rsidRDefault="00557FD8" w:rsidP="00557FD8">
      <w:pPr>
        <w:pStyle w:val="ConsPlusNonformat"/>
        <w:ind w:firstLine="284"/>
        <w:jc w:val="center"/>
        <w:rPr>
          <w:rFonts w:ascii="PT Astra Serif" w:hAnsi="PT Astra Serif" w:cs="Arial"/>
          <w:b/>
          <w:sz w:val="24"/>
          <w:szCs w:val="24"/>
        </w:rPr>
      </w:pPr>
      <w:hyperlink r:id="rId6" w:history="1">
        <w:r w:rsidRPr="00557FD8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</w:p>
    <w:p w:rsidR="00F05DD9" w:rsidRPr="00557FD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</w:p>
    <w:p w:rsidR="00F05DD9" w:rsidRPr="00557FD8" w:rsidRDefault="00557FD8" w:rsidP="00557FD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hyperlink r:id="rId7" w:history="1">
        <w:r w:rsidRPr="00557FD8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  <w:r w:rsidRPr="00557FD8">
        <w:rPr>
          <w:rFonts w:ascii="PT Astra Serif" w:hAnsi="PT Astra Serif"/>
          <w:sz w:val="24"/>
          <w:szCs w:val="24"/>
        </w:rPr>
        <w:t xml:space="preserve"> </w:t>
      </w:r>
      <w:r w:rsidR="00F05DD9" w:rsidRPr="00557FD8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</w:t>
      </w:r>
      <w:proofErr w:type="gramStart"/>
      <w:r w:rsidR="00F05DD9" w:rsidRPr="00557FD8">
        <w:rPr>
          <w:rFonts w:ascii="PT Astra Serif" w:eastAsia="Arial" w:hAnsi="PT Astra Serif" w:cs="Arial"/>
          <w:sz w:val="24"/>
          <w:szCs w:val="24"/>
        </w:rPr>
        <w:t xml:space="preserve">   </w:t>
      </w:r>
      <w:r w:rsidR="00F05DD9" w:rsidRPr="00557FD8">
        <w:rPr>
          <w:rFonts w:ascii="PT Astra Serif" w:hAnsi="PT Astra Serif" w:cs="Arial"/>
          <w:sz w:val="24"/>
          <w:szCs w:val="24"/>
        </w:rPr>
        <w:t>(</w:t>
      </w:r>
      <w:proofErr w:type="gramEnd"/>
      <w:r w:rsidR="00F05DD9" w:rsidRPr="00557FD8">
        <w:rPr>
          <w:rFonts w:ascii="PT Astra Serif" w:hAnsi="PT Astra Serif" w:cs="Arial"/>
          <w:sz w:val="24"/>
          <w:szCs w:val="24"/>
        </w:rPr>
        <w:t>адрес официального сайта)</w:t>
      </w:r>
    </w:p>
    <w:p w:rsidR="00F05DD9" w:rsidRPr="00557FD8" w:rsidRDefault="00F05DD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557FD8" w:rsidRPr="00557FD8">
        <w:rPr>
          <w:rFonts w:ascii="PT Astra Serif" w:hAnsi="PT Astra Serif" w:cs="Arial"/>
          <w:b/>
          <w:sz w:val="24"/>
          <w:szCs w:val="24"/>
          <w:u w:val="single"/>
        </w:rPr>
        <w:t>31</w:t>
      </w:r>
      <w:r w:rsidR="00873D0E" w:rsidRPr="00557FD8">
        <w:rPr>
          <w:rFonts w:ascii="PT Astra Serif" w:hAnsi="PT Astra Serif" w:cs="Arial"/>
          <w:b/>
          <w:sz w:val="24"/>
          <w:szCs w:val="24"/>
          <w:u w:val="single"/>
        </w:rPr>
        <w:t>.</w:t>
      </w:r>
      <w:r w:rsidR="00557FD8" w:rsidRPr="00557FD8">
        <w:rPr>
          <w:rFonts w:ascii="PT Astra Serif" w:hAnsi="PT Astra Serif" w:cs="Arial"/>
          <w:b/>
          <w:sz w:val="24"/>
          <w:szCs w:val="24"/>
          <w:u w:val="single"/>
        </w:rPr>
        <w:t>11</w:t>
      </w:r>
      <w:r w:rsidR="00250493" w:rsidRPr="00557FD8">
        <w:rPr>
          <w:rFonts w:ascii="PT Astra Serif" w:hAnsi="PT Astra Serif" w:cs="Arial"/>
          <w:b/>
          <w:sz w:val="24"/>
          <w:szCs w:val="24"/>
          <w:u w:val="single"/>
        </w:rPr>
        <w:t>.202</w:t>
      </w:r>
      <w:r w:rsidR="00557FD8" w:rsidRPr="00557FD8">
        <w:rPr>
          <w:rFonts w:ascii="PT Astra Serif" w:hAnsi="PT Astra Serif" w:cs="Arial"/>
          <w:b/>
          <w:sz w:val="24"/>
          <w:szCs w:val="24"/>
          <w:u w:val="single"/>
        </w:rPr>
        <w:t>4</w:t>
      </w:r>
      <w:r w:rsidRPr="00557FD8">
        <w:rPr>
          <w:rFonts w:ascii="PT Astra Serif" w:hAnsi="PT Astra Serif" w:cs="Arial"/>
          <w:sz w:val="24"/>
          <w:szCs w:val="24"/>
        </w:rPr>
        <w:t>_________________________</w:t>
      </w:r>
    </w:p>
    <w:p w:rsidR="00F05DD9" w:rsidRPr="00557FD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</w:t>
      </w:r>
      <w:r w:rsidRPr="00557FD8">
        <w:rPr>
          <w:rFonts w:ascii="PT Astra Serif" w:hAnsi="PT Astra Serif" w:cs="Arial"/>
          <w:sz w:val="24"/>
          <w:szCs w:val="24"/>
        </w:rPr>
        <w:t>(число, месяц, год)</w:t>
      </w:r>
    </w:p>
    <w:p w:rsidR="002C6438" w:rsidRPr="00557FD8" w:rsidRDefault="002C6438" w:rsidP="002C6438">
      <w:pPr>
        <w:widowControl w:val="0"/>
        <w:tabs>
          <w:tab w:val="right" w:pos="9922"/>
        </w:tabs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1. Описание проблемы, на решение которой направлено предлагаемое правовое регулирование:</w:t>
      </w:r>
    </w:p>
    <w:p w:rsidR="002C6438" w:rsidRPr="00557FD8" w:rsidRDefault="002C6438" w:rsidP="002C6438">
      <w:pPr>
        <w:autoSpaceDE w:val="0"/>
        <w:spacing w:after="0" w:line="240" w:lineRule="auto"/>
        <w:jc w:val="both"/>
        <w:rPr>
          <w:rFonts w:ascii="PT Astra Serif" w:hAnsi="PT Astra Serif" w:cs="Calibri"/>
          <w:kern w:val="0"/>
          <w:sz w:val="24"/>
          <w:szCs w:val="24"/>
          <w:lang w:eastAsia="zh-CN"/>
        </w:rPr>
      </w:pPr>
      <w:r w:rsidRPr="00557FD8">
        <w:rPr>
          <w:rFonts w:ascii="PT Astra Serif" w:hAnsi="PT Astra Serif" w:cs="Arial"/>
          <w:kern w:val="0"/>
          <w:sz w:val="24"/>
          <w:szCs w:val="24"/>
          <w:lang w:eastAsia="zh-CN"/>
        </w:rPr>
        <w:t xml:space="preserve">Проблема, на решение которой направлено регулирование, заключается в </w:t>
      </w:r>
      <w:r w:rsidR="001E3E4F" w:rsidRPr="00557FD8">
        <w:rPr>
          <w:rFonts w:ascii="PT Astra Serif" w:hAnsi="PT Astra Serif" w:cs="Arial"/>
          <w:kern w:val="0"/>
          <w:sz w:val="24"/>
          <w:szCs w:val="24"/>
          <w:lang w:eastAsia="zh-CN"/>
        </w:rPr>
        <w:t>установлении порядка предоставления муниципальной услуги и стандарта ее предоставления, состава, последовательности и сроков выполнения административных процедур, требований и порядка их выполнения администрацией МО Узловский район.</w:t>
      </w:r>
    </w:p>
    <w:p w:rsidR="002C6438" w:rsidRPr="00557FD8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2. Цели предлагаемого правового регулирования:</w:t>
      </w:r>
    </w:p>
    <w:p w:rsidR="006F27BF" w:rsidRPr="00557FD8" w:rsidRDefault="006F27BF" w:rsidP="006F27BF">
      <w:pPr>
        <w:spacing w:after="0" w:line="240" w:lineRule="auto"/>
        <w:ind w:left="-57" w:firstLine="709"/>
        <w:jc w:val="both"/>
        <w:rPr>
          <w:rFonts w:ascii="PT Astra Serif" w:eastAsia="Times New Roman" w:hAnsi="PT Astra Serif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 xml:space="preserve">Регламент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(далее — Административный регламент) регулирует отношения, возникающие в связи с предоставлением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товаропроизводителям», </w:t>
      </w:r>
      <w:r w:rsidRPr="00557FD8">
        <w:rPr>
          <w:rFonts w:ascii="PT Astra Serif" w:eastAsia="Arial" w:hAnsi="PT Astra Serif" w:cs="PT Astra Serif"/>
          <w:kern w:val="0"/>
          <w:sz w:val="24"/>
          <w:szCs w:val="24"/>
          <w:lang w:eastAsia="zh-CN"/>
        </w:rPr>
        <w:t>администрации муниципального образования Узловский район (далее - администрация МО Узловский район)</w:t>
      </w: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.</w:t>
      </w:r>
    </w:p>
    <w:p w:rsidR="006F27BF" w:rsidRPr="00557FD8" w:rsidRDefault="006F27BF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</w:pPr>
    </w:p>
    <w:p w:rsidR="002C6438" w:rsidRPr="00557FD8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1E3E4F" w:rsidRPr="00557FD8" w:rsidRDefault="001E3E4F" w:rsidP="001E3E4F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 xml:space="preserve"> Конституцией Российской Федерации;</w:t>
      </w:r>
    </w:p>
    <w:p w:rsidR="001E3E4F" w:rsidRPr="00557FD8" w:rsidRDefault="001E3E4F" w:rsidP="001E3E4F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 xml:space="preserve"> Гражданским кодексом Российской Федерации;</w:t>
      </w:r>
    </w:p>
    <w:p w:rsidR="001E3E4F" w:rsidRPr="00557FD8" w:rsidRDefault="001E3E4F" w:rsidP="001E3E4F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lastRenderedPageBreak/>
        <w:t>Федеральным законом от 8 августа 2001 года № 129-ФЗ «О государственной регистрации юридических лиц и индивидуальных предпринимателей»;</w:t>
      </w:r>
    </w:p>
    <w:p w:rsidR="001E3E4F" w:rsidRPr="00557FD8" w:rsidRDefault="001E3E4F" w:rsidP="001E3E4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PT Astra Serif" w:eastAsia="Times New Roman" w:hAnsi="PT Astra Serif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 xml:space="preserve"> Федеральным законом от 29 декабря 2006 года № 264-ФЗ «О развитии сельского хозяйства»;</w:t>
      </w:r>
    </w:p>
    <w:p w:rsidR="001E3E4F" w:rsidRPr="00557FD8" w:rsidRDefault="001E3E4F" w:rsidP="001E3E4F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1E3E4F" w:rsidRPr="00557FD8" w:rsidRDefault="001E3E4F" w:rsidP="001E3E4F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E3E4F" w:rsidRPr="00557FD8" w:rsidRDefault="001E3E4F" w:rsidP="001E3E4F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Федеральным законом от 6 апреля 2011 года № 63-ФЗ «Об электронной</w:t>
      </w:r>
    </w:p>
    <w:p w:rsidR="001E3E4F" w:rsidRPr="00557FD8" w:rsidRDefault="001E3E4F" w:rsidP="001E3E4F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Liberation Mono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подписи»;</w:t>
      </w:r>
    </w:p>
    <w:p w:rsidR="001E3E4F" w:rsidRPr="00557FD8" w:rsidRDefault="001E3E4F" w:rsidP="001E3E4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PT Astra Serif" w:eastAsia="Times New Roman" w:hAnsi="PT Astra Serif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PT Astra Serif"/>
          <w:kern w:val="0"/>
          <w:sz w:val="24"/>
          <w:szCs w:val="24"/>
          <w:lang w:eastAsia="zh-CN"/>
        </w:rPr>
        <w:t>В соответствие со ст. 3 закона №264-ФЗ от 29.12.2006 «О развитии сельского хозяйства» иными муниципальными правовыми актами.</w:t>
      </w:r>
    </w:p>
    <w:p w:rsidR="002C6438" w:rsidRPr="00557FD8" w:rsidRDefault="002C6438">
      <w:pPr>
        <w:pStyle w:val="ConsPlusNonformat"/>
        <w:spacing w:after="240"/>
        <w:jc w:val="both"/>
        <w:rPr>
          <w:rFonts w:ascii="PT Astra Serif" w:hAnsi="PT Astra Serif" w:cs="Arial"/>
          <w:b/>
          <w:sz w:val="24"/>
          <w:szCs w:val="24"/>
        </w:rPr>
      </w:pPr>
    </w:p>
    <w:p w:rsidR="00F05DD9" w:rsidRPr="00557FD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 xml:space="preserve">4. Планируемый срок вступления в силу предлагаемого правового                      регулирования: </w:t>
      </w:r>
      <w:r w:rsidR="00557FD8" w:rsidRPr="00557FD8">
        <w:rPr>
          <w:rFonts w:ascii="PT Astra Serif" w:hAnsi="PT Astra Serif" w:cs="Arial"/>
          <w:sz w:val="24"/>
          <w:szCs w:val="24"/>
          <w:u w:val="single"/>
        </w:rPr>
        <w:t>ноябрь</w:t>
      </w:r>
      <w:r w:rsidR="006F27BF" w:rsidRPr="00557FD8">
        <w:rPr>
          <w:rFonts w:ascii="PT Astra Serif" w:hAnsi="PT Astra Serif" w:cs="Arial"/>
          <w:sz w:val="24"/>
          <w:szCs w:val="24"/>
          <w:u w:val="single"/>
        </w:rPr>
        <w:t xml:space="preserve"> 202</w:t>
      </w:r>
      <w:r w:rsidR="00557FD8" w:rsidRPr="00557FD8">
        <w:rPr>
          <w:rFonts w:ascii="PT Astra Serif" w:hAnsi="PT Astra Serif" w:cs="Arial"/>
          <w:sz w:val="24"/>
          <w:szCs w:val="24"/>
          <w:u w:val="single"/>
        </w:rPr>
        <w:t>4</w:t>
      </w:r>
      <w:r w:rsidR="006F27BF" w:rsidRPr="00557FD8">
        <w:rPr>
          <w:rFonts w:ascii="PT Astra Serif" w:hAnsi="PT Astra Serif" w:cs="Arial"/>
          <w:sz w:val="24"/>
          <w:szCs w:val="24"/>
          <w:u w:val="single"/>
        </w:rPr>
        <w:t xml:space="preserve"> г</w:t>
      </w:r>
    </w:p>
    <w:p w:rsidR="00F05DD9" w:rsidRPr="00557FD8" w:rsidRDefault="00F05DD9" w:rsidP="002C6438">
      <w:pPr>
        <w:pStyle w:val="ConsPlusNonformat"/>
        <w:spacing w:after="240"/>
        <w:jc w:val="both"/>
        <w:rPr>
          <w:rFonts w:ascii="PT Astra Serif" w:hAnsi="PT Astra Serif" w:cs="Arial"/>
          <w:b/>
          <w:sz w:val="24"/>
          <w:szCs w:val="24"/>
        </w:rPr>
      </w:pPr>
      <w:r w:rsidRPr="00557FD8">
        <w:rPr>
          <w:rFonts w:ascii="PT Astra Serif" w:hAnsi="PT Astra Serif" w:cs="Arial"/>
          <w:b/>
          <w:sz w:val="24"/>
          <w:szCs w:val="24"/>
        </w:rPr>
        <w:t xml:space="preserve">5. Сведения о необходимости или отсутствии необходимости установления </w:t>
      </w:r>
    </w:p>
    <w:p w:rsidR="002C6438" w:rsidRPr="00557FD8" w:rsidRDefault="002C6438" w:rsidP="002C6438">
      <w:pPr>
        <w:spacing w:after="0"/>
        <w:jc w:val="both"/>
        <w:rPr>
          <w:rFonts w:ascii="PT Astra Serif" w:hAnsi="PT Astra Serif" w:cs="Arial"/>
          <w:kern w:val="0"/>
          <w:sz w:val="24"/>
          <w:szCs w:val="24"/>
          <w:lang w:eastAsia="zh-CN"/>
        </w:rPr>
      </w:pPr>
      <w:r w:rsidRPr="00557FD8">
        <w:rPr>
          <w:rFonts w:ascii="PT Astra Serif" w:hAnsi="PT Astra Serif" w:cs="Arial"/>
          <w:b/>
          <w:bCs/>
          <w:kern w:val="0"/>
          <w:sz w:val="24"/>
          <w:szCs w:val="24"/>
          <w:lang w:eastAsia="zh-CN"/>
        </w:rPr>
        <w:t>6. Сравнение возможных вариантов решения проблемы</w:t>
      </w:r>
      <w:r w:rsidRPr="00557FD8">
        <w:rPr>
          <w:rFonts w:ascii="PT Astra Serif" w:hAnsi="PT Astra Serif" w:cs="Arial"/>
          <w:kern w:val="0"/>
          <w:sz w:val="24"/>
          <w:szCs w:val="24"/>
          <w:lang w:eastAsia="zh-CN"/>
        </w:rPr>
        <w:t>:</w:t>
      </w:r>
    </w:p>
    <w:p w:rsidR="002C6438" w:rsidRPr="00557FD8" w:rsidRDefault="002C6438" w:rsidP="002C6438">
      <w:pPr>
        <w:spacing w:after="0"/>
        <w:jc w:val="both"/>
        <w:rPr>
          <w:rFonts w:ascii="PT Astra Serif" w:hAnsi="PT Astra Serif" w:cs="Arial"/>
          <w:kern w:val="0"/>
          <w:sz w:val="24"/>
          <w:szCs w:val="24"/>
          <w:lang w:eastAsia="zh-CN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3402"/>
      </w:tblGrid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Вариант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Вариант 2</w:t>
            </w: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6.1. Содержание варианта решения выявленной проблемы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Сохранение НПА в действующей редакции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 xml:space="preserve">Принятие НПА в новой редакции </w:t>
            </w: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 xml:space="preserve">Единовременная плата за предоставление места размещения нестационарного торгового объекта </w:t>
            </w: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spacing w:after="0" w:line="240" w:lineRule="auto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  <w:t>Доходы бюджета, полученные по результатам аукциона на право размещения НТО</w:t>
            </w: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spacing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557FD8">
            <w:pPr>
              <w:spacing w:line="240" w:lineRule="auto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 xml:space="preserve">Заявленные цели могут быть достигнуты в </w:t>
            </w:r>
            <w:r w:rsidR="00557FD8"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 xml:space="preserve">ноябре </w:t>
            </w: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202</w:t>
            </w:r>
            <w:r w:rsidR="00557FD8"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4</w:t>
            </w: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2C6438" w:rsidRPr="00557FD8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6.6. Оценка рисков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zh-CN"/>
              </w:rPr>
              <w:t>Риски неблагоприятных последствий отсутствуют</w:t>
            </w:r>
          </w:p>
        </w:tc>
      </w:tr>
    </w:tbl>
    <w:p w:rsidR="002C6438" w:rsidRPr="00557FD8" w:rsidRDefault="002C6438" w:rsidP="002C6438">
      <w:pPr>
        <w:spacing w:after="0"/>
        <w:jc w:val="both"/>
        <w:rPr>
          <w:rFonts w:ascii="PT Astra Serif" w:hAnsi="PT Astra Serif" w:cs="Calibri"/>
          <w:kern w:val="0"/>
          <w:sz w:val="24"/>
          <w:szCs w:val="24"/>
          <w:lang w:eastAsia="zh-CN"/>
        </w:rPr>
      </w:pPr>
    </w:p>
    <w:p w:rsidR="002C6438" w:rsidRPr="00557FD8" w:rsidRDefault="002C6438" w:rsidP="002C6438">
      <w:pPr>
        <w:spacing w:after="0" w:line="240" w:lineRule="auto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6.7. Обоснование выбора предпочтительного варианта предлагаемого правового регулирования выявленной проблемы:</w:t>
      </w:r>
      <w:r w:rsidRPr="00557FD8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 xml:space="preserve"> вариант (новая редакция) –</w:t>
      </w: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 xml:space="preserve"> </w:t>
      </w:r>
      <w:r w:rsidRPr="00557FD8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 xml:space="preserve">необходимость </w:t>
      </w:r>
      <w:r w:rsidRPr="00557FD8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lastRenderedPageBreak/>
        <w:t>корректировки количества объектов торговой инфраструктуры в связи с проведенным благоустройством территории</w:t>
      </w:r>
    </w:p>
    <w:p w:rsidR="002C6438" w:rsidRPr="00557FD8" w:rsidRDefault="002C6438" w:rsidP="002C6438">
      <w:pPr>
        <w:spacing w:after="0" w:line="240" w:lineRule="auto"/>
        <w:jc w:val="both"/>
        <w:rPr>
          <w:rFonts w:ascii="PT Astra Serif" w:eastAsia="Times New Roman" w:hAnsi="PT Astra Serif"/>
          <w:kern w:val="0"/>
          <w:sz w:val="24"/>
          <w:szCs w:val="24"/>
          <w:lang w:eastAsia="zh-CN"/>
        </w:rPr>
      </w:pPr>
    </w:p>
    <w:p w:rsidR="002C6438" w:rsidRPr="00557FD8" w:rsidRDefault="002C6438" w:rsidP="002C6438">
      <w:pPr>
        <w:widowControl w:val="0"/>
        <w:autoSpaceDE w:val="0"/>
        <w:spacing w:after="240" w:line="240" w:lineRule="auto"/>
        <w:jc w:val="both"/>
        <w:rPr>
          <w:rFonts w:ascii="PT Astra Serif" w:eastAsia="Times New Roman" w:hAnsi="PT Astra Serif" w:cs="Courier New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7. Иная информация по решению органа-</w:t>
      </w:r>
      <w:proofErr w:type="gramStart"/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>разработчика,  относящаяся</w:t>
      </w:r>
      <w:proofErr w:type="gramEnd"/>
      <w:r w:rsidRPr="00557FD8">
        <w:rPr>
          <w:rFonts w:ascii="PT Astra Serif" w:eastAsia="Times New Roman" w:hAnsi="PT Astra Serif" w:cs="Arial"/>
          <w:b/>
          <w:kern w:val="0"/>
          <w:sz w:val="24"/>
          <w:szCs w:val="24"/>
          <w:lang w:eastAsia="zh-CN"/>
        </w:rPr>
        <w:t xml:space="preserve"> к сведениям о подготовке идеи (концепции) предлагаемого правового регулирования: </w:t>
      </w:r>
      <w:r w:rsidRPr="00557FD8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>отсутствует</w:t>
      </w:r>
    </w:p>
    <w:p w:rsidR="002C6438" w:rsidRPr="00557FD8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sz w:val="24"/>
          <w:szCs w:val="24"/>
          <w:lang w:eastAsia="zh-CN"/>
        </w:rPr>
      </w:pPr>
      <w:r w:rsidRPr="00557FD8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>К уведомлению прилагаются:</w:t>
      </w: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024"/>
      </w:tblGrid>
      <w:tr w:rsidR="002C6438" w:rsidRPr="00557FD8" w:rsidTr="002C643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 w:cs="Calibri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rPr>
                <w:rFonts w:ascii="PT Astra Serif" w:hAnsi="PT Astra Serif" w:cs="Calibri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Перечень вопросов для участников публичных консультаций</w:t>
            </w:r>
          </w:p>
        </w:tc>
      </w:tr>
      <w:tr w:rsidR="002C6438" w:rsidRPr="00557FD8" w:rsidTr="002C643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 w:cs="Calibri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8" w:rsidRPr="00557FD8" w:rsidRDefault="002C6438" w:rsidP="002C6438">
            <w:pPr>
              <w:widowControl w:val="0"/>
              <w:autoSpaceDE w:val="0"/>
              <w:spacing w:after="0" w:line="240" w:lineRule="auto"/>
              <w:rPr>
                <w:rFonts w:ascii="PT Astra Serif" w:hAnsi="PT Astra Serif" w:cs="Calibri"/>
                <w:kern w:val="0"/>
                <w:sz w:val="24"/>
                <w:szCs w:val="24"/>
                <w:lang w:eastAsia="zh-CN"/>
              </w:rPr>
            </w:pPr>
            <w:r w:rsidRPr="00557FD8">
              <w:rPr>
                <w:rFonts w:ascii="PT Astra Serif" w:hAnsi="PT Astra Serif" w:cs="Arial"/>
                <w:kern w:val="0"/>
                <w:sz w:val="24"/>
                <w:szCs w:val="24"/>
                <w:lang w:eastAsia="zh-CN"/>
              </w:rPr>
              <w:t>Проект муниципального нормативного правового акта</w:t>
            </w:r>
          </w:p>
        </w:tc>
      </w:tr>
    </w:tbl>
    <w:p w:rsidR="002C6438" w:rsidRDefault="002C6438" w:rsidP="002C6438">
      <w:pPr>
        <w:pStyle w:val="ConsPlusNonformat"/>
        <w:spacing w:after="240"/>
        <w:jc w:val="both"/>
      </w:pPr>
    </w:p>
    <w:sectPr w:rsidR="002C6438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2254DB"/>
    <w:multiLevelType w:val="hybridMultilevel"/>
    <w:tmpl w:val="2762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283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709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395652F5"/>
    <w:multiLevelType w:val="multilevel"/>
    <w:tmpl w:val="A8D22AF4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eastAsia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-1418" w:firstLine="709"/>
      </w:pPr>
    </w:lvl>
    <w:lvl w:ilvl="2">
      <w:start w:val="1"/>
      <w:numFmt w:val="decimal"/>
      <w:suff w:val="space"/>
      <w:lvlText w:val="%3)"/>
      <w:lvlJc w:val="left"/>
      <w:pPr>
        <w:ind w:left="-1418" w:firstLine="709"/>
      </w:pPr>
    </w:lvl>
    <w:lvl w:ilvl="3">
      <w:start w:val="1"/>
      <w:numFmt w:val="bullet"/>
      <w:suff w:val="space"/>
      <w:lvlText w:val="-"/>
      <w:lvlJc w:val="left"/>
      <w:pPr>
        <w:ind w:left="-1418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-1418" w:firstLine="709"/>
      </w:pPr>
    </w:lvl>
    <w:lvl w:ilvl="5">
      <w:start w:val="1"/>
      <w:numFmt w:val="none"/>
      <w:suff w:val="nothing"/>
      <w:lvlText w:val=""/>
      <w:lvlJc w:val="left"/>
      <w:pPr>
        <w:ind w:left="-1418" w:firstLine="709"/>
      </w:pPr>
    </w:lvl>
    <w:lvl w:ilvl="6">
      <w:start w:val="1"/>
      <w:numFmt w:val="none"/>
      <w:suff w:val="nothing"/>
      <w:lvlText w:val=""/>
      <w:lvlJc w:val="left"/>
      <w:pPr>
        <w:ind w:left="-1418" w:firstLine="709"/>
      </w:pPr>
    </w:lvl>
    <w:lvl w:ilvl="7">
      <w:start w:val="1"/>
      <w:numFmt w:val="none"/>
      <w:suff w:val="nothing"/>
      <w:lvlText w:val=""/>
      <w:lvlJc w:val="left"/>
      <w:pPr>
        <w:ind w:left="-1418" w:firstLine="709"/>
      </w:pPr>
    </w:lvl>
    <w:lvl w:ilvl="8">
      <w:start w:val="1"/>
      <w:numFmt w:val="none"/>
      <w:suff w:val="nothing"/>
      <w:lvlText w:val=""/>
      <w:lvlJc w:val="left"/>
      <w:pPr>
        <w:ind w:left="-1418" w:firstLine="709"/>
      </w:pPr>
    </w:lvl>
  </w:abstractNum>
  <w:abstractNum w:abstractNumId="5">
    <w:nsid w:val="67835AE1"/>
    <w:multiLevelType w:val="hybridMultilevel"/>
    <w:tmpl w:val="52B0B37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7"/>
    <w:rsid w:val="00050824"/>
    <w:rsid w:val="00117CCF"/>
    <w:rsid w:val="0018612D"/>
    <w:rsid w:val="001D6CBE"/>
    <w:rsid w:val="001E3E4F"/>
    <w:rsid w:val="00245CAA"/>
    <w:rsid w:val="00250493"/>
    <w:rsid w:val="002C6438"/>
    <w:rsid w:val="003D7CFC"/>
    <w:rsid w:val="00557FD8"/>
    <w:rsid w:val="00626955"/>
    <w:rsid w:val="006332E8"/>
    <w:rsid w:val="0067600E"/>
    <w:rsid w:val="00694AD4"/>
    <w:rsid w:val="006F27BF"/>
    <w:rsid w:val="007C1A73"/>
    <w:rsid w:val="00807DB7"/>
    <w:rsid w:val="00873D0E"/>
    <w:rsid w:val="009C19EA"/>
    <w:rsid w:val="00AA5BF8"/>
    <w:rsid w:val="00B83041"/>
    <w:rsid w:val="00BF170B"/>
    <w:rsid w:val="00C14580"/>
    <w:rsid w:val="00CB3FF4"/>
    <w:rsid w:val="00D20B4E"/>
    <w:rsid w:val="00DC3DED"/>
    <w:rsid w:val="00DE45EC"/>
    <w:rsid w:val="00F0582B"/>
    <w:rsid w:val="00F05DD9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EB99E5-202A-4FB1-A087-86191E89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-N">
    <w:name w:val="Список-N"/>
    <w:basedOn w:val="a9"/>
    <w:link w:val="-N0"/>
    <w:qFormat/>
    <w:rsid w:val="00117CCF"/>
    <w:pPr>
      <w:numPr>
        <w:numId w:val="2"/>
      </w:numPr>
      <w:spacing w:after="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7600E"/>
    <w:rPr>
      <w:sz w:val="24"/>
      <w:szCs w:val="24"/>
      <w:lang w:eastAsia="zh-CN"/>
    </w:rPr>
  </w:style>
  <w:style w:type="paragraph" w:customStyle="1" w:styleId="ac">
    <w:name w:val="Шапка(паспорт) документа"/>
    <w:basedOn w:val="a8"/>
    <w:qFormat/>
    <w:rsid w:val="00F20AF4"/>
    <w:pPr>
      <w:suppressLineNumbers w:val="0"/>
      <w:suppressAutoHyphens w:val="0"/>
      <w:spacing w:before="0" w:after="0" w:line="240" w:lineRule="auto"/>
      <w:jc w:val="center"/>
    </w:pPr>
    <w:rPr>
      <w:rFonts w:ascii="Arial" w:eastAsia="Times New Roman" w:hAnsi="Arial" w:cs="Arial"/>
      <w:b/>
      <w:i w:val="0"/>
      <w:iCs w:val="0"/>
      <w:kern w:val="0"/>
      <w:szCs w:val="20"/>
      <w:lang w:eastAsia="zh-CN"/>
    </w:rPr>
  </w:style>
  <w:style w:type="paragraph" w:styleId="ad">
    <w:name w:val="Balloon Text"/>
    <w:basedOn w:val="a"/>
    <w:link w:val="10"/>
    <w:uiPriority w:val="99"/>
    <w:semiHidden/>
    <w:unhideWhenUsed/>
    <w:rsid w:val="0069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d"/>
    <w:uiPriority w:val="99"/>
    <w:semiHidden/>
    <w:rsid w:val="00694AD4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ae">
    <w:name w:val="Normal (Web)"/>
    <w:basedOn w:val="a"/>
    <w:rsid w:val="00AA5BF8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customStyle="1" w:styleId="11">
    <w:name w:val="Абзац списка1"/>
    <w:basedOn w:val="a"/>
    <w:rsid w:val="00CB3FF4"/>
    <w:pPr>
      <w:spacing w:after="0" w:line="240" w:lineRule="auto"/>
      <w:ind w:left="708"/>
    </w:pPr>
    <w:rPr>
      <w:rFonts w:ascii="Times New Roman" w:eastAsia="Times New Roman" w:hAnsi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2024-10-29T13:21:00Z</cp:lastPrinted>
  <dcterms:created xsi:type="dcterms:W3CDTF">2024-10-29T13:21:00Z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